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Test chapter</w:t>
      </w:r>
    </w:p>
    <w:p>
      <w:pPr>
        <w:jc w:val="left"/>
      </w:pPr>
      <w:r>
        <w:t xml:space="preserve">This document is generated automatically by datatoolbox using the python package docx. </w:t>
      </w:r>
    </w:p>
    <w:p>
      <w:pPr>
        <w:jc w:val="left"/>
      </w:pPr>
    </w:p>
    <w:tbl>
      <w:tblPr>
        <w:tblStyle w:val="LightGrid-Accent1"/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8640"/>
            <w:gridSpan w:val="6"/>
          </w:tcPr>
          <w:p>
            <w:r>
              <w:t>Power generation shares</w:t>
            </w:r>
          </w:p>
        </w:tc>
      </w:tr>
      <w:tr>
        <w:tc>
          <w:tcPr>
            <w:tcW w:type="dxa" w:w="1440"/>
          </w:tcPr>
          <w:p/>
        </w:tc>
        <w:tc>
          <w:tcPr>
            <w:tcW w:type="dxa" w:w="1440"/>
          </w:tcPr>
          <w:p>
            <w:r>
              <w:t>Coal</w:t>
            </w:r>
          </w:p>
        </w:tc>
        <w:tc>
          <w:tcPr>
            <w:tcW w:type="dxa" w:w="1440"/>
          </w:tcPr>
          <w:p>
            <w:r>
              <w:t>Oil</w:t>
            </w:r>
          </w:p>
        </w:tc>
        <w:tc>
          <w:tcPr>
            <w:tcW w:type="dxa" w:w="1440"/>
          </w:tcPr>
          <w:p>
            <w:r>
              <w:t>Gas</w:t>
            </w:r>
          </w:p>
        </w:tc>
        <w:tc>
          <w:tcPr>
            <w:tcW w:type="dxa" w:w="1440"/>
          </w:tcPr>
          <w:p>
            <w:r>
              <w:t>Nuclear</w:t>
            </w:r>
          </w:p>
        </w:tc>
        <w:tc>
          <w:tcPr>
            <w:tcW w:type="dxa" w:w="1440"/>
          </w:tcPr>
          <w:p>
            <w:r>
              <w:t>Renewables</w:t>
            </w:r>
          </w:p>
        </w:tc>
      </w:tr>
      <w:tr>
        <w:tc>
          <w:tcPr>
            <w:tcW w:type="dxa" w:w="1440"/>
          </w:tcPr>
          <w:p>
            <w:r>
              <w:t>2018</w:t>
            </w:r>
          </w:p>
        </w:tc>
        <w:tc>
          <w:tcPr>
            <w:tcW w:type="dxa" w:w="1440"/>
          </w:tcPr>
          <w:p>
            <w:r>
              <w:t>88.9%</w:t>
            </w:r>
          </w:p>
        </w:tc>
        <w:tc>
          <w:tcPr>
            <w:tcW w:type="dxa" w:w="1440"/>
          </w:tcPr>
          <w:p>
            <w:r>
              <w:t>0.1%</w:t>
            </w:r>
          </w:p>
        </w:tc>
        <w:tc>
          <w:tcPr>
            <w:tcW w:type="dxa" w:w="1440"/>
          </w:tcPr>
          <w:p>
            <w:r>
              <w:t>0</w:t>
            </w:r>
          </w:p>
        </w:tc>
        <w:tc>
          <w:tcPr>
            <w:tcW w:type="dxa" w:w="1440"/>
          </w:tcPr>
          <w:p>
            <w:r>
              <w:t>4.5%</w:t>
            </w:r>
          </w:p>
        </w:tc>
        <w:tc>
          <w:tcPr>
            <w:tcW w:type="dxa" w:w="1440"/>
          </w:tcPr>
          <w:p>
            <w:r>
              <w:t>6.6%</w:t>
            </w:r>
          </w:p>
        </w:tc>
      </w:tr>
      <w:tr>
        <w:tc>
          <w:tcPr>
            <w:tcW w:type="dxa" w:w="1440"/>
          </w:tcPr>
          <w:p>
            <w:r>
              <w:t>2017</w:t>
            </w:r>
          </w:p>
        </w:tc>
        <w:tc>
          <w:tcPr>
            <w:tcW w:type="dxa" w:w="1440"/>
          </w:tcPr>
          <w:p>
            <w:r>
              <w:t>89.9%</w:t>
            </w:r>
          </w:p>
        </w:tc>
        <w:tc>
          <w:tcPr>
            <w:tcW w:type="dxa" w:w="1440"/>
          </w:tcPr>
          <w:p>
            <w:r>
              <w:t>0.1%</w:t>
            </w:r>
          </w:p>
        </w:tc>
        <w:tc>
          <w:tcPr>
            <w:tcW w:type="dxa" w:w="1440"/>
          </w:tcPr>
          <w:p>
            <w:r>
              <w:t>0</w:t>
            </w:r>
          </w:p>
        </w:tc>
        <w:tc>
          <w:tcPr>
            <w:tcW w:type="dxa" w:w="1440"/>
          </w:tcPr>
          <w:p>
            <w:r>
              <w:t>3.5%</w:t>
            </w:r>
          </w:p>
        </w:tc>
        <w:tc>
          <w:tcPr>
            <w:tcW w:type="dxa" w:w="1440"/>
          </w:tcPr>
          <w:p>
            <w:r>
              <w:t>6.6%</w:t>
            </w:r>
          </w:p>
        </w:tc>
      </w:tr>
    </w:tbl>
    <w:p>
      <w:r>
        <w:drawing>
          <wp:inline xmlns:a="http://schemas.openxmlformats.org/drawingml/2006/main" xmlns:pic="http://schemas.openxmlformats.org/drawingml/2006/picture">
            <wp:extent cx="3520440" cy="264033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em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264033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